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46FB5" w:rsidP="00246FB5" w14:paraId="3B1B322C" w14:textId="4C8A4D0A">
      <w:pPr>
        <w:spacing w:line="480" w:lineRule="auto"/>
        <w:jc w:val="center"/>
        <w:rPr>
          <w:rFonts w:ascii="Times New Roman" w:hAnsi="Times New Roman" w:cs="Times New Roman"/>
          <w:sz w:val="24"/>
          <w:szCs w:val="24"/>
          <w:lang w:val="en-US"/>
        </w:rPr>
      </w:pPr>
    </w:p>
    <w:p w:rsidR="00246FB5" w:rsidP="00246FB5" w14:paraId="70BA53E5" w14:textId="37315B2C">
      <w:pPr>
        <w:spacing w:line="480" w:lineRule="auto"/>
        <w:jc w:val="center"/>
        <w:rPr>
          <w:rFonts w:ascii="Times New Roman" w:hAnsi="Times New Roman" w:cs="Times New Roman"/>
          <w:sz w:val="24"/>
          <w:szCs w:val="24"/>
          <w:lang w:val="en-US"/>
        </w:rPr>
      </w:pPr>
    </w:p>
    <w:p w:rsidR="00246FB5" w:rsidP="00246FB5" w14:paraId="7B837EDF" w14:textId="7EA733AF">
      <w:pPr>
        <w:spacing w:line="480" w:lineRule="auto"/>
        <w:jc w:val="center"/>
        <w:rPr>
          <w:rFonts w:ascii="Times New Roman" w:hAnsi="Times New Roman" w:cs="Times New Roman"/>
          <w:sz w:val="24"/>
          <w:szCs w:val="24"/>
          <w:lang w:val="en-US"/>
        </w:rPr>
      </w:pPr>
    </w:p>
    <w:p w:rsidR="00E1026F" w:rsidP="00246FB5" w14:paraId="00043941" w14:textId="77777777">
      <w:pPr>
        <w:spacing w:line="480" w:lineRule="auto"/>
        <w:jc w:val="center"/>
        <w:rPr>
          <w:rFonts w:ascii="Times New Roman" w:hAnsi="Times New Roman" w:cs="Times New Roman"/>
          <w:sz w:val="24"/>
          <w:szCs w:val="24"/>
          <w:lang w:val="en-US"/>
        </w:rPr>
      </w:pPr>
    </w:p>
    <w:p w:rsidR="00246FB5" w:rsidP="00246FB5" w14:paraId="6F76B862" w14:textId="388C7286">
      <w:pPr>
        <w:spacing w:line="480" w:lineRule="auto"/>
        <w:jc w:val="center"/>
        <w:rPr>
          <w:rFonts w:ascii="Times New Roman" w:hAnsi="Times New Roman" w:cs="Times New Roman"/>
          <w:sz w:val="24"/>
          <w:szCs w:val="24"/>
          <w:lang w:val="en-US"/>
        </w:rPr>
      </w:pPr>
    </w:p>
    <w:p w:rsidR="00246FB5" w:rsidP="00246FB5" w14:paraId="7F12604F" w14:textId="2CE5E4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Jim Crow Laws</w:t>
      </w:r>
    </w:p>
    <w:p w:rsidR="00246FB5" w:rsidP="00246FB5" w14:paraId="0A7D43A0" w14:textId="1D7A3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rsidR="00246FB5" w:rsidP="00246FB5" w14:paraId="74C98676" w14:textId="4DC35D6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246FB5" w:rsidP="00246FB5" w14:paraId="5AE37430" w14:textId="29C7B91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246FB5" w:rsidP="00246FB5" w14:paraId="1EB9BA27" w14:textId="77777777">
      <w:pPr>
        <w:spacing w:line="480" w:lineRule="auto"/>
        <w:rPr>
          <w:rFonts w:ascii="Times New Roman" w:hAnsi="Times New Roman" w:cs="Times New Roman"/>
          <w:sz w:val="24"/>
          <w:szCs w:val="24"/>
          <w:lang w:val="en-US"/>
        </w:rPr>
      </w:pPr>
    </w:p>
    <w:p w:rsidR="00246FB5" w:rsidP="00246FB5" w14:paraId="39A2A6D5" w14:textId="77777777">
      <w:pPr>
        <w:spacing w:line="480" w:lineRule="auto"/>
        <w:rPr>
          <w:rFonts w:ascii="Times New Roman" w:hAnsi="Times New Roman" w:cs="Times New Roman"/>
          <w:sz w:val="24"/>
          <w:szCs w:val="24"/>
          <w:lang w:val="en-US"/>
        </w:rPr>
      </w:pPr>
    </w:p>
    <w:p w:rsidR="00246FB5" w:rsidP="00246FB5" w14:paraId="4E9F9F9A" w14:textId="77777777">
      <w:pPr>
        <w:spacing w:line="480" w:lineRule="auto"/>
        <w:rPr>
          <w:rFonts w:ascii="Times New Roman" w:hAnsi="Times New Roman" w:cs="Times New Roman"/>
          <w:sz w:val="24"/>
          <w:szCs w:val="24"/>
          <w:lang w:val="en-US"/>
        </w:rPr>
      </w:pPr>
    </w:p>
    <w:p w:rsidR="00246FB5" w:rsidP="00246FB5" w14:paraId="01E617A5" w14:textId="77777777">
      <w:pPr>
        <w:spacing w:line="480" w:lineRule="auto"/>
        <w:rPr>
          <w:rFonts w:ascii="Times New Roman" w:hAnsi="Times New Roman" w:cs="Times New Roman"/>
          <w:sz w:val="24"/>
          <w:szCs w:val="24"/>
          <w:lang w:val="en-US"/>
        </w:rPr>
      </w:pPr>
    </w:p>
    <w:p w:rsidR="00246FB5" w:rsidP="00246FB5" w14:paraId="0AB7A7F3" w14:textId="77777777">
      <w:pPr>
        <w:spacing w:line="480" w:lineRule="auto"/>
        <w:rPr>
          <w:rFonts w:ascii="Times New Roman" w:hAnsi="Times New Roman" w:cs="Times New Roman"/>
          <w:sz w:val="24"/>
          <w:szCs w:val="24"/>
          <w:lang w:val="en-US"/>
        </w:rPr>
      </w:pPr>
    </w:p>
    <w:p w:rsidR="00E1026F" w14:paraId="5813BC95"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46FB5" w:rsidP="00E1026F" w14:paraId="070FF45A" w14:textId="7190B8F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Jim Crow Laws</w:t>
      </w:r>
    </w:p>
    <w:p w:rsidR="00246FB5" w:rsidRPr="00246FB5" w:rsidP="00246FB5" w14:paraId="3B479590" w14:textId="2E1163D6">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the history of the US, Jim Crow law</w:t>
      </w:r>
      <w:r>
        <w:rPr>
          <w:rFonts w:ascii="Times New Roman" w:hAnsi="Times New Roman" w:cs="Times New Roman"/>
          <w:sz w:val="24"/>
          <w:szCs w:val="24"/>
          <w:lang w:val="en-US"/>
        </w:rPr>
        <w:t>s</w:t>
      </w:r>
      <w:r w:rsidRPr="00246FB5">
        <w:rPr>
          <w:rFonts w:ascii="Times New Roman" w:hAnsi="Times New Roman" w:cs="Times New Roman"/>
          <w:sz w:val="24"/>
          <w:szCs w:val="24"/>
          <w:lang w:val="en-US"/>
        </w:rPr>
        <w:t xml:space="preserve"> refer to any rules that promoted racial discrimination in the South within the cease of the reconstruction period in the 1877 and the starting of the social movement in the 1950s. Jim Crow was an identity given to a routine folk s</w:t>
      </w:r>
      <w:r>
        <w:rPr>
          <w:rFonts w:ascii="Times New Roman" w:hAnsi="Times New Roman" w:cs="Times New Roman"/>
          <w:sz w:val="24"/>
          <w:szCs w:val="24"/>
          <w:lang w:val="en-US"/>
        </w:rPr>
        <w:t>ong</w:t>
      </w:r>
      <w:r w:rsidRPr="00246FB5">
        <w:rPr>
          <w:rFonts w:ascii="Times New Roman" w:hAnsi="Times New Roman" w:cs="Times New Roman"/>
          <w:sz w:val="24"/>
          <w:szCs w:val="24"/>
          <w:lang w:val="en-US"/>
        </w:rPr>
        <w:t xml:space="preserve"> that </w:t>
      </w:r>
      <w:r>
        <w:rPr>
          <w:rFonts w:ascii="Times New Roman" w:hAnsi="Times New Roman" w:cs="Times New Roman"/>
          <w:sz w:val="24"/>
          <w:szCs w:val="24"/>
          <w:lang w:val="en-US"/>
        </w:rPr>
        <w:t xml:space="preserve">was </w:t>
      </w:r>
      <w:r w:rsidRPr="00246FB5">
        <w:rPr>
          <w:rFonts w:ascii="Times New Roman" w:hAnsi="Times New Roman" w:cs="Times New Roman"/>
          <w:sz w:val="24"/>
          <w:szCs w:val="24"/>
          <w:lang w:val="en-US"/>
        </w:rPr>
        <w:t>performed starting in 1828 through its writer Thomas Dartmouth in collaboration with many other comic actors such as Joseph Jefferson. The term emerged as disparaging name mainly used for African American as well as a designation for their discriminated life. Accordin</w:t>
      </w:r>
      <w:r w:rsidR="00E1026F">
        <w:rPr>
          <w:rFonts w:ascii="Times New Roman" w:hAnsi="Times New Roman" w:cs="Times New Roman"/>
          <w:sz w:val="24"/>
          <w:szCs w:val="24"/>
          <w:lang w:val="en-US"/>
        </w:rPr>
        <w:t>g to Sanchez</w:t>
      </w:r>
      <w:r w:rsidRPr="00246FB5">
        <w:rPr>
          <w:rFonts w:ascii="Times New Roman" w:hAnsi="Times New Roman" w:cs="Times New Roman"/>
          <w:sz w:val="24"/>
          <w:szCs w:val="24"/>
          <w:lang w:val="en-US"/>
        </w:rPr>
        <w:t xml:space="preserve"> (2018:7) in 1896, the Supreme court of the United States in its Ferguson against Plessy case decreed that “separate but equal” African Americans </w:t>
      </w:r>
      <w:r>
        <w:rPr>
          <w:rFonts w:ascii="Times New Roman" w:hAnsi="Times New Roman" w:cs="Times New Roman"/>
          <w:sz w:val="24"/>
          <w:szCs w:val="24"/>
          <w:lang w:val="en-US"/>
        </w:rPr>
        <w:t>did</w:t>
      </w:r>
      <w:r w:rsidRPr="00246FB5">
        <w:rPr>
          <w:rFonts w:ascii="Times New Roman" w:hAnsi="Times New Roman" w:cs="Times New Roman"/>
          <w:sz w:val="24"/>
          <w:szCs w:val="24"/>
          <w:lang w:val="en-US"/>
        </w:rPr>
        <w:t xml:space="preserve"> not go against the Fourteenth Amendment, looking down upon the evidence that adroitness for blacks was less superior to the ones meant for the whites. The research paper discusses the Jim Crow law in the United States.</w:t>
      </w:r>
    </w:p>
    <w:p w:rsidR="00246FB5" w:rsidRPr="00246FB5" w:rsidP="00246FB5" w14:paraId="44418B1B" w14:textId="7FBEB1B8">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The legislatures from the southern state in the late 1870s who were no longer contained by the freedmen and opportunists passed laws dictating that the whites be separated from African American in schools and areas of public transport. Basically, any individual who had deep roots for black ancestry was regarded as a person of color which was used as pre-civil war differentiation privileging those people with mixed ancestry more so the half-French individuals in Louisiana </w:t>
      </w:r>
      <w:r>
        <w:rPr>
          <w:rFonts w:ascii="Times New Roman" w:hAnsi="Times New Roman" w:cs="Times New Roman"/>
          <w:sz w:val="24"/>
          <w:szCs w:val="24"/>
          <w:lang w:val="en-US"/>
        </w:rPr>
        <w:t xml:space="preserve">who </w:t>
      </w:r>
      <w:r w:rsidRPr="00246FB5">
        <w:rPr>
          <w:rFonts w:ascii="Times New Roman" w:hAnsi="Times New Roman" w:cs="Times New Roman"/>
          <w:sz w:val="24"/>
          <w:szCs w:val="24"/>
          <w:lang w:val="en-US"/>
        </w:rPr>
        <w:t>were alienated. The principle of discrimination was stretched to theatres, cemeteries, restaurants, and parks in an endeavor to avoid direct contact between the white people and the blacks. The law aimed at showing white superiority and signifying that whites</w:t>
      </w:r>
      <w:r w:rsidR="00E1026F">
        <w:rPr>
          <w:rFonts w:ascii="Times New Roman" w:hAnsi="Times New Roman" w:cs="Times New Roman"/>
          <w:sz w:val="24"/>
          <w:szCs w:val="24"/>
          <w:lang w:val="en-US"/>
        </w:rPr>
        <w:t xml:space="preserve"> and blacks were not equal (</w:t>
      </w:r>
      <w:r w:rsidR="00E1026F">
        <w:rPr>
          <w:rFonts w:ascii="Times New Roman" w:hAnsi="Times New Roman" w:cs="Times New Roman"/>
          <w:sz w:val="24"/>
          <w:szCs w:val="24"/>
          <w:lang w:val="en-US"/>
        </w:rPr>
        <w:t>Ayu</w:t>
      </w:r>
      <w:r w:rsidRPr="00246FB5">
        <w:rPr>
          <w:rFonts w:ascii="Times New Roman" w:hAnsi="Times New Roman" w:cs="Times New Roman"/>
          <w:sz w:val="24"/>
          <w:szCs w:val="24"/>
          <w:lang w:val="en-US"/>
        </w:rPr>
        <w:t xml:space="preserve"> and </w:t>
      </w:r>
      <w:r w:rsidRPr="00246FB5">
        <w:rPr>
          <w:rFonts w:ascii="Times New Roman" w:hAnsi="Times New Roman" w:cs="Times New Roman"/>
          <w:sz w:val="24"/>
          <w:szCs w:val="24"/>
          <w:lang w:val="en-US"/>
        </w:rPr>
        <w:t>Dewi</w:t>
      </w:r>
      <w:r w:rsidRPr="00246FB5">
        <w:rPr>
          <w:rFonts w:ascii="Times New Roman" w:hAnsi="Times New Roman" w:cs="Times New Roman"/>
          <w:sz w:val="24"/>
          <w:szCs w:val="24"/>
          <w:lang w:val="en-US"/>
        </w:rPr>
        <w:t xml:space="preserve"> 2017: 26). Additionally, the law was enforced on state and local levels and most popularly the ruling “separate but equal” by the US supreme court. </w:t>
      </w:r>
    </w:p>
    <w:p w:rsidR="00246FB5" w:rsidRPr="00246FB5" w:rsidP="00246FB5" w14:paraId="218263D3" w14:textId="4348A8BC">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the 1954 ruling of between the case involving the Board of education of Topeka and Brown, the US supreme court further ruled in contrary to the Plessy judgment. The court</w:t>
      </w:r>
      <w:r>
        <w:rPr>
          <w:rFonts w:ascii="Times New Roman" w:hAnsi="Times New Roman" w:cs="Times New Roman"/>
          <w:sz w:val="24"/>
          <w:szCs w:val="24"/>
          <w:lang w:val="en-US"/>
        </w:rPr>
        <w:t xml:space="preserve"> ruled </w:t>
      </w:r>
      <w:r w:rsidRPr="00246FB5">
        <w:rPr>
          <w:rFonts w:ascii="Times New Roman" w:hAnsi="Times New Roman" w:cs="Times New Roman"/>
          <w:sz w:val="24"/>
          <w:szCs w:val="24"/>
          <w:lang w:val="en-US"/>
        </w:rPr>
        <w:t xml:space="preserve">that the eminent discrimination that was all over the US public facilities such as schools and hospitals were unlawful and unsupported legally. During the subsequent years, a similar disappointment of the Jim Crow law got struck by another ruling of a similar magnitude. </w:t>
      </w:r>
    </w:p>
    <w:p w:rsidR="00246FB5" w:rsidP="00246FB5" w14:paraId="7130D7A3" w14:textId="77777777">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Before the occurrence of the civil war, the slaves who were subjected to inferior status than the whites made it clear that it was unethical to pass laws differentiating the slaves from white individuals. It was possible for the two races to work in unison with only one condition that each slave identified his subordinate location. </w:t>
      </w:r>
      <w:r w:rsidRPr="00246FB5">
        <w:rPr>
          <w:rFonts w:ascii="Times New Roman" w:hAnsi="Times New Roman" w:cs="Times New Roman"/>
          <w:sz w:val="24"/>
          <w:szCs w:val="24"/>
          <w:lang w:val="en-US"/>
        </w:rPr>
        <w:t>Hutami</w:t>
      </w:r>
      <w:r w:rsidRPr="00246FB5">
        <w:rPr>
          <w:rFonts w:ascii="Times New Roman" w:hAnsi="Times New Roman" w:cs="Times New Roman"/>
          <w:sz w:val="24"/>
          <w:szCs w:val="24"/>
          <w:lang w:val="en-US"/>
        </w:rPr>
        <w:t xml:space="preserve"> and </w:t>
      </w:r>
      <w:r w:rsidRPr="00246FB5">
        <w:rPr>
          <w:rFonts w:ascii="Times New Roman" w:hAnsi="Times New Roman" w:cs="Times New Roman"/>
          <w:sz w:val="24"/>
          <w:szCs w:val="24"/>
          <w:lang w:val="en-US"/>
        </w:rPr>
        <w:t>Anindita</w:t>
      </w:r>
      <w:r w:rsidRPr="00246FB5">
        <w:rPr>
          <w:rFonts w:ascii="Times New Roman" w:hAnsi="Times New Roman" w:cs="Times New Roman"/>
          <w:sz w:val="24"/>
          <w:szCs w:val="24"/>
          <w:lang w:val="en-US"/>
        </w:rPr>
        <w:t xml:space="preserve"> (2018: 2) posit that most free blacks had homes in the cities where fundamental racial segregation was witnessed as early 1860, but it was not aligned to any uniform pattern. In the North of America, free blacks worked under extreme conditions with uneven and serious discrimination policies than it was in the south. </w:t>
      </w:r>
    </w:p>
    <w:p w:rsidR="00246FB5" w:rsidP="00246FB5" w14:paraId="223C6767" w14:textId="79CD75AF">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Many people anticipated that the southern states would create a substantial system of segregation; however, it never happened. The legislatures in other states imposed tough alienation regulations that adversely affected the black people. In Texas, for instance, it was declared that every train should be partitioned and installed with a car that would accommodate the blacks. Before the emergence of the civil war, the southern state lacked functional public education system, and after the civil war, the government built a public learning institution that was devoid of racial discrimination. Moreover, New Orleans integrated learning institutions until 1877, and former slaves from North Carolina regularly sat on judges alongside whites. 
</w:t>
      </w:r>
    </w:p>
    <w:p w:rsidR="00246FB5" w:rsidRPr="00246FB5" w:rsidP="00246FB5" w14:paraId="5A28A2F3" w14:textId="77777777">
      <w:pPr>
        <w:spacing w:line="480" w:lineRule="auto"/>
        <w:rPr>
          <w:rFonts w:ascii="Times New Roman" w:hAnsi="Times New Roman" w:cs="Times New Roman"/>
          <w:sz w:val="24"/>
          <w:szCs w:val="24"/>
          <w:lang w:val="en-US"/>
        </w:rPr>
      </w:pPr>
    </w:p>
    <w:p w:rsidR="00246FB5" w:rsidRPr="00246FB5" w:rsidP="00246FB5" w14:paraId="0257946B" w14:textId="2526767F">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supreme court ruled in 1877 in case that involved DeCuire v. Hall that states could not manage to forbid discriminating on public carriers such as riverboats, railroads or streetcars. During the ruling of the case of civil rights in 1883, the court reversed primary factors enshrined in the civil rights Act of 1875. Consequentially, the court sanctioned the idea of "separate but equal" concerning transportation and facilities for the races. About seven years down the line, the court sanctioned a statute of Mississippi that demanded discrimination on the carriers within the intrastate in New Orleans and Texas railway. From the way, the cases were determined it was clear that the court fundamentally acquiesced in the solution of the south as the only remedy to the racial problems (Sherwin and Richard 2017: 7)
</w:t>
      </w:r>
    </w:p>
    <w:p w:rsidR="00246FB5" w:rsidRPr="00246FB5" w:rsidP="00246FB5" w14:paraId="74E5709C" w14:textId="0BEB8538">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From early 1887 to late 1892 nine states with Louisiana being included passed laws dictating differentiation on public transferals like the railroads and streetcars</w:t>
      </w:r>
      <w:r w:rsidR="00C945BA">
        <w:rPr>
          <w:rFonts w:ascii="Times New Roman" w:hAnsi="Times New Roman" w:cs="Times New Roman"/>
          <w:sz w:val="24"/>
          <w:szCs w:val="24"/>
          <w:lang w:val="en-US"/>
        </w:rPr>
        <w:t>.</w:t>
      </w:r>
      <w:r w:rsidRPr="00246FB5">
        <w:rPr>
          <w:rFonts w:ascii="Times New Roman" w:hAnsi="Times New Roman" w:cs="Times New Roman"/>
          <w:sz w:val="24"/>
          <w:szCs w:val="24"/>
          <w:lang w:val="en-US"/>
        </w:rPr>
        <w:t xml:space="preserve"> while the statutes were different in various ways</w:t>
      </w:r>
      <w:r w:rsidR="00C945BA">
        <w:rPr>
          <w:rFonts w:ascii="Times New Roman" w:hAnsi="Times New Roman" w:cs="Times New Roman"/>
          <w:sz w:val="24"/>
          <w:szCs w:val="24"/>
          <w:lang w:val="en-US"/>
        </w:rPr>
        <w:t>, m</w:t>
      </w:r>
      <w:r w:rsidRPr="00246FB5">
        <w:rPr>
          <w:rFonts w:ascii="Times New Roman" w:hAnsi="Times New Roman" w:cs="Times New Roman"/>
          <w:sz w:val="24"/>
          <w:szCs w:val="24"/>
          <w:lang w:val="en-US"/>
        </w:rPr>
        <w:t xml:space="preserve">any of those statutes needed the same accommodation for passengers of the black origin, imposed harsh fines and extended to even imposing jail terms on employees of the railroad who did not promote the statutes. Five other states created criminal fines and jail term for passengers who attempted to sit in the cars that were excluded for their race. The separate car act of Louisiana was passed July 1890. As a technique to enhance the comfort of passengers each railroad was to offer similar but separate accommodations for the people of color and the whites on all the lines running across the US (Penrod and Erin 2018: 207). </w:t>
      </w:r>
    </w:p>
    <w:p w:rsidR="00246FB5" w:rsidRPr="00246FB5" w:rsidP="00246FB5" w14:paraId="211E032B" w14:textId="3BA24A47">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The Louisiana separate car act was characterized by humiliating and dramatic overturn of luck for the black people as well as citizens of the mixed race of Louisiana. Though a slave state New Orleans and Louisiana with their deep ancestry in French had some extreme tolerance for black people than did the other states that were deep with the notion of the racial segregation. </w:t>
      </w:r>
      <w:r w:rsidRPr="00246FB5">
        <w:rPr>
          <w:rFonts w:ascii="Times New Roman" w:hAnsi="Times New Roman" w:cs="Times New Roman"/>
          <w:sz w:val="24"/>
          <w:szCs w:val="24"/>
          <w:lang w:val="en-US"/>
        </w:rPr>
        <w:t xml:space="preserve">Other than the rampant demarcation that existed between the whites and the black people, the New Orleans accepted the formation of a class of free black people, the descendants of the European ancestors who previously celebrated a significant deal of autonomy. While Louisianan state had laws that prohibited marriage among the slaves, it accepted the marriage between the whites and free people of color to get engaged, testify against the whites in the courts of law and to some extent become heirs to their fathers’ properties.   </w:t>
      </w:r>
    </w:p>
    <w:p w:rsidR="00246FB5" w:rsidP="00246FB5" w14:paraId="73B874C2" w14:textId="77777777">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As a result of the significant changes in various statutes, some slaves became their own slave owners, and quite a number of them had an opportunity to amass wealth. </w:t>
      </w:r>
      <w:r w:rsidRPr="00246FB5">
        <w:rPr>
          <w:rFonts w:ascii="Times New Roman" w:hAnsi="Times New Roman" w:cs="Times New Roman"/>
          <w:sz w:val="24"/>
          <w:szCs w:val="24"/>
          <w:lang w:val="en-US"/>
        </w:rPr>
        <w:t>Erevelles</w:t>
      </w:r>
      <w:r w:rsidRPr="00246FB5">
        <w:rPr>
          <w:rFonts w:ascii="Times New Roman" w:hAnsi="Times New Roman" w:cs="Times New Roman"/>
          <w:sz w:val="24"/>
          <w:szCs w:val="24"/>
          <w:lang w:val="en-US"/>
        </w:rPr>
        <w:t xml:space="preserve"> and </w:t>
      </w:r>
      <w:r w:rsidRPr="00246FB5">
        <w:rPr>
          <w:rFonts w:ascii="Times New Roman" w:hAnsi="Times New Roman" w:cs="Times New Roman"/>
          <w:sz w:val="24"/>
          <w:szCs w:val="24"/>
          <w:lang w:val="en-US"/>
        </w:rPr>
        <w:t>Nirmala</w:t>
      </w:r>
      <w:r w:rsidRPr="00246FB5">
        <w:rPr>
          <w:rFonts w:ascii="Times New Roman" w:hAnsi="Times New Roman" w:cs="Times New Roman"/>
          <w:sz w:val="24"/>
          <w:szCs w:val="24"/>
          <w:lang w:val="en-US"/>
        </w:rPr>
        <w:t xml:space="preserve"> (2014:9) argue that the social standing of the slaves more so in New Orleans had provided them with security against reactions from the whites. However, when the whites reinstated their power during the cease of reconstruction, they only recognized two races and the initial privileges that had been allowed to the free people of color evaporated.  Gens de color facilitated the creation of American citizenship equal rights movement after the introduction of the separate car bill, and together the people of color declared to violate the law.</w:t>
      </w:r>
    </w:p>
    <w:p w:rsidR="00246FB5" w:rsidRPr="00246FB5" w:rsidP="00246FB5" w14:paraId="176C41CB" w14:textId="23219AB7">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 A citizens’ committee that was initially drawn from the community of people of color raised $3,000 for funding a lawsuit and recognized attorney called Tourgee accepted to lead the council in that case. The committee also needed the assistance of a local lawyer, since during the court session the challenge would involve going through courts of the state prior to being appealed to the federal court system. Eventually, the case was taken by a white lawyer. The black lawyers from New Orleans who were competent as well were denied a chance to raise any constitutional concerns since according to the explanation given, they were fully active in the police courts. </w:t>
      </w:r>
    </w:p>
    <w:p w:rsidR="00246FB5" w:rsidP="00246FB5" w14:paraId="01D7F15D" w14:textId="7CB69308">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challenging of separate car act came to its peak in 1892 when a 21-year-old youth bought a first-class ticket to traveling from New Orleans to Mobile Alabama and got accommodated in the whites-only car. The young man was arrested and charged with gross violation of the separate car act. The attorneys who were fighting for the rights of the people with color and who were totally against the separate car act filed a lawsuit. The lawyers raised their concerns by arguing that since the 24-year-old was a mere passenger in the commerce of the interstate, he had every privilege and right to enjoy travel with no governmental or congress restrictions. 
</w:t>
      </w:r>
    </w:p>
    <w:p w:rsidR="00246FB5" w:rsidRPr="00246FB5" w:rsidP="00246FB5" w14:paraId="2F24D2ED" w14:textId="0E510A91">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Furthermore, the attorney argue</w:t>
      </w:r>
      <w:r>
        <w:rPr>
          <w:rFonts w:ascii="Times New Roman" w:hAnsi="Times New Roman" w:cs="Times New Roman"/>
          <w:sz w:val="24"/>
          <w:szCs w:val="24"/>
          <w:lang w:val="en-US"/>
        </w:rPr>
        <w:t>d</w:t>
      </w:r>
      <w:r w:rsidRPr="00246FB5">
        <w:rPr>
          <w:rFonts w:ascii="Times New Roman" w:hAnsi="Times New Roman" w:cs="Times New Roman"/>
          <w:sz w:val="24"/>
          <w:szCs w:val="24"/>
          <w:lang w:val="en-US"/>
        </w:rPr>
        <w:t xml:space="preserve"> that a case involving race was of massive importance and weight and therefore it was unlawful to be left in the hands of a train official. According to the then current state of law, biases in ru</w:t>
      </w:r>
      <w:r w:rsidR="00C945BA">
        <w:rPr>
          <w:rFonts w:ascii="Times New Roman" w:hAnsi="Times New Roman" w:cs="Times New Roman"/>
          <w:sz w:val="24"/>
          <w:szCs w:val="24"/>
          <w:lang w:val="en-US"/>
        </w:rPr>
        <w:t>l</w:t>
      </w:r>
      <w:r w:rsidRPr="00246FB5">
        <w:rPr>
          <w:rFonts w:ascii="Times New Roman" w:hAnsi="Times New Roman" w:cs="Times New Roman"/>
          <w:sz w:val="24"/>
          <w:szCs w:val="24"/>
          <w:lang w:val="en-US"/>
        </w:rPr>
        <w:t>ing and segregations, the lawyers had</w:t>
      </w:r>
      <w:r w:rsidR="007820E1">
        <w:rPr>
          <w:rFonts w:ascii="Times New Roman" w:hAnsi="Times New Roman" w:cs="Times New Roman"/>
          <w:sz w:val="24"/>
          <w:szCs w:val="24"/>
          <w:lang w:val="en-US"/>
        </w:rPr>
        <w:t xml:space="preserve"> </w:t>
      </w:r>
      <w:r w:rsidRPr="00246FB5">
        <w:rPr>
          <w:rFonts w:ascii="Times New Roman" w:hAnsi="Times New Roman" w:cs="Times New Roman"/>
          <w:sz w:val="24"/>
          <w:szCs w:val="24"/>
          <w:lang w:val="en-US"/>
        </w:rPr>
        <w:t>prejudged</w:t>
      </w:r>
      <w:r w:rsidR="007820E1">
        <w:rPr>
          <w:rFonts w:ascii="Times New Roman" w:hAnsi="Times New Roman" w:cs="Times New Roman"/>
          <w:sz w:val="24"/>
          <w:szCs w:val="24"/>
          <w:lang w:val="en-US"/>
        </w:rPr>
        <w:t xml:space="preserve"> the</w:t>
      </w:r>
      <w:r w:rsidRPr="00246FB5">
        <w:rPr>
          <w:rFonts w:ascii="Times New Roman" w:hAnsi="Times New Roman" w:cs="Times New Roman"/>
          <w:sz w:val="24"/>
          <w:szCs w:val="24"/>
          <w:lang w:val="en-US"/>
        </w:rPr>
        <w:t xml:space="preserve"> decision that their lawsuit would be a success and as a result, </w:t>
      </w:r>
      <w:r w:rsidR="007820E1">
        <w:rPr>
          <w:rFonts w:ascii="Times New Roman" w:hAnsi="Times New Roman" w:cs="Times New Roman"/>
          <w:sz w:val="24"/>
          <w:szCs w:val="24"/>
          <w:lang w:val="en-US"/>
        </w:rPr>
        <w:t xml:space="preserve">the </w:t>
      </w:r>
      <w:r w:rsidRPr="00246FB5">
        <w:rPr>
          <w:rFonts w:ascii="Times New Roman" w:hAnsi="Times New Roman" w:cs="Times New Roman"/>
          <w:sz w:val="24"/>
          <w:szCs w:val="24"/>
          <w:lang w:val="en-US"/>
        </w:rPr>
        <w:t xml:space="preserve">youth could be convicted and the only solution would be to go </w:t>
      </w:r>
      <w:r w:rsidR="007820E1">
        <w:rPr>
          <w:rFonts w:ascii="Times New Roman" w:hAnsi="Times New Roman" w:cs="Times New Roman"/>
          <w:sz w:val="24"/>
          <w:szCs w:val="24"/>
          <w:lang w:val="en-US"/>
        </w:rPr>
        <w:t xml:space="preserve">to </w:t>
      </w:r>
      <w:r w:rsidRPr="00246FB5">
        <w:rPr>
          <w:rFonts w:ascii="Times New Roman" w:hAnsi="Times New Roman" w:cs="Times New Roman"/>
          <w:sz w:val="24"/>
          <w:szCs w:val="24"/>
          <w:lang w:val="en-US"/>
        </w:rPr>
        <w:t xml:space="preserve">the appellate court (Highsmith, Andrew and Erickson 2015: 563). The unfolding events from the case demonstrated that the presiding judge who was to determine over the case went missing with no substantial explanation. </w:t>
      </w:r>
    </w:p>
    <w:p w:rsidR="00246FB5" w:rsidRPr="00246FB5" w:rsidP="00246FB5" w14:paraId="32BCA132" w14:textId="76183EAB">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The attorneys that represented the youth figured out the next course of action to undertake after the abduction of the president judge. However, the supreme court of Louisiana nailed down its decision. A train conductor on the Pacific railway and Texas was pursued giving accommodation to a black passenger in the white only car. The railway management argued that the Louisiana law could </w:t>
      </w:r>
      <w:r w:rsidR="007820E1">
        <w:rPr>
          <w:rFonts w:ascii="Times New Roman" w:hAnsi="Times New Roman" w:cs="Times New Roman"/>
          <w:sz w:val="24"/>
          <w:szCs w:val="24"/>
          <w:lang w:val="en-US"/>
        </w:rPr>
        <w:t xml:space="preserve">not </w:t>
      </w:r>
      <w:r w:rsidRPr="00246FB5">
        <w:rPr>
          <w:rFonts w:ascii="Times New Roman" w:hAnsi="Times New Roman" w:cs="Times New Roman"/>
          <w:sz w:val="24"/>
          <w:szCs w:val="24"/>
          <w:lang w:val="en-US"/>
        </w:rPr>
        <w:t xml:space="preserve">be applied in prosecuting the </w:t>
      </w:r>
      <w:r w:rsidR="007820E1">
        <w:rPr>
          <w:rFonts w:ascii="Times New Roman" w:hAnsi="Times New Roman" w:cs="Times New Roman"/>
          <w:sz w:val="24"/>
          <w:szCs w:val="24"/>
          <w:lang w:val="en-US"/>
        </w:rPr>
        <w:t>conductor</w:t>
      </w:r>
      <w:r w:rsidRPr="00246FB5">
        <w:rPr>
          <w:rFonts w:ascii="Times New Roman" w:hAnsi="Times New Roman" w:cs="Times New Roman"/>
          <w:sz w:val="24"/>
          <w:szCs w:val="24"/>
          <w:lang w:val="en-US"/>
        </w:rPr>
        <w:t xml:space="preserve"> since he was using interstate travel. Moreover, the railway argued that even if the law had wider boundaries than expected, then it was unlawful and biased to be used under the commerce clause. The court gave unlikely ruling by declaring that the conditions of the separate car act could no</w:t>
      </w:r>
      <w:r w:rsidR="007820E1">
        <w:rPr>
          <w:rFonts w:ascii="Times New Roman" w:hAnsi="Times New Roman" w:cs="Times New Roman"/>
          <w:sz w:val="24"/>
          <w:szCs w:val="24"/>
          <w:lang w:val="en-US"/>
        </w:rPr>
        <w:t>t</w:t>
      </w:r>
      <w:r w:rsidRPr="00246FB5">
        <w:rPr>
          <w:rFonts w:ascii="Times New Roman" w:hAnsi="Times New Roman" w:cs="Times New Roman"/>
          <w:sz w:val="24"/>
          <w:szCs w:val="24"/>
          <w:lang w:val="en-US"/>
        </w:rPr>
        <w:t xml:space="preserve"> be used in prosecuting the interstate passengers. According to </w:t>
      </w:r>
      <w:r w:rsidRPr="00246FB5">
        <w:rPr>
          <w:rFonts w:ascii="Times New Roman" w:hAnsi="Times New Roman" w:cs="Times New Roman"/>
          <w:sz w:val="24"/>
          <w:szCs w:val="24"/>
          <w:lang w:val="en-US"/>
        </w:rPr>
        <w:t>Kuczewski</w:t>
      </w:r>
      <w:r w:rsidRPr="00246FB5">
        <w:rPr>
          <w:rFonts w:ascii="Times New Roman" w:hAnsi="Times New Roman" w:cs="Times New Roman"/>
          <w:sz w:val="24"/>
          <w:szCs w:val="24"/>
          <w:lang w:val="en-US"/>
        </w:rPr>
        <w:t xml:space="preserve"> and Mark (2016: 21), the ruling of the Louisiana </w:t>
      </w:r>
      <w:r w:rsidRPr="00246FB5">
        <w:rPr>
          <w:rFonts w:ascii="Times New Roman" w:hAnsi="Times New Roman" w:cs="Times New Roman"/>
          <w:sz w:val="24"/>
          <w:szCs w:val="24"/>
          <w:lang w:val="en-US"/>
        </w:rPr>
        <w:t xml:space="preserve">supreme court gave a fundamental milestone that prompted the dismissal of other cases that were violating the autonomy of people of color. </w:t>
      </w:r>
    </w:p>
    <w:p w:rsidR="00246FB5" w:rsidRPr="00246FB5" w:rsidP="00246FB5" w14:paraId="0980BF81" w14:textId="5C85267F">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attorneys noticed that the Abbott case could not be used in interstate commerce. This implied that the people of color could not freely travel within the borders the state of Louisiana and as a result, the black attorneys started looking for a lawyer who was light skinned in complexion to bring the law to test. The lawyers found Homer Plessy who was a shoemaker by then. Additionally, Plessy was one of the citizen’s committee members who previously raised the money to fund a lawsuit to oppose the separate car act. By this time, Plessy was famous among the communities of the people of color mainly for</w:t>
      </w:r>
      <w:r w:rsidR="007820E1">
        <w:rPr>
          <w:rFonts w:ascii="Times New Roman" w:hAnsi="Times New Roman" w:cs="Times New Roman"/>
          <w:sz w:val="24"/>
          <w:szCs w:val="24"/>
          <w:lang w:val="en-US"/>
        </w:rPr>
        <w:t xml:space="preserve"> his participation</w:t>
      </w:r>
      <w:r w:rsidRPr="00246FB5">
        <w:rPr>
          <w:rFonts w:ascii="Times New Roman" w:hAnsi="Times New Roman" w:cs="Times New Roman"/>
          <w:sz w:val="24"/>
          <w:szCs w:val="24"/>
          <w:lang w:val="en-US"/>
        </w:rPr>
        <w:t xml:space="preserve"> in various groups that aimed to enrich the society with their rights. </w:t>
      </w:r>
    </w:p>
    <w:p w:rsidR="00246FB5" w:rsidRPr="00246FB5" w:rsidP="00246FB5" w14:paraId="2B3F5E27" w14:textId="32785697">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In 1892, Homer Plessy while in the streets of press depot in New Orleans, purchased a first-class ticket to allow him to travel to Covington. He was allowed to board the east Louisiana Railroad train numbered as 8. As the train was setting off, the conductor approached Plessy and inquired the light complexed Homer Plessy if he belonged to the race of the black people. Plessy accepted that he was a man of color and then the conductor ordered him to move to the section that was reserved for the blacks. He refused in the harshest terms possible and strongly argued that he was an American citizen, and since he had incurred the cost of traveling in the first-class ticket, he had all the rights to travel to Covington using the train without prejudice as long as the train was running on the American soil. Consequentially, conductor halted train, and a detective called Ch</w:t>
      </w:r>
      <w:r w:rsidR="00C85A10">
        <w:rPr>
          <w:rFonts w:ascii="Times New Roman" w:hAnsi="Times New Roman" w:cs="Times New Roman"/>
          <w:sz w:val="24"/>
          <w:szCs w:val="24"/>
          <w:lang w:val="en-US"/>
        </w:rPr>
        <w:t>ristopher Cain boarded it</w:t>
      </w:r>
      <w:r w:rsidRPr="00246FB5">
        <w:rPr>
          <w:rFonts w:ascii="Times New Roman" w:hAnsi="Times New Roman" w:cs="Times New Roman"/>
          <w:sz w:val="24"/>
          <w:szCs w:val="24"/>
          <w:lang w:val="en-US"/>
        </w:rPr>
        <w:t xml:space="preserve"> and apprehended Plessy, and with </w:t>
      </w:r>
      <w:r w:rsidR="00C85A10">
        <w:rPr>
          <w:rFonts w:ascii="Times New Roman" w:hAnsi="Times New Roman" w:cs="Times New Roman"/>
          <w:sz w:val="24"/>
          <w:szCs w:val="24"/>
          <w:lang w:val="en-US"/>
        </w:rPr>
        <w:t>help of several</w:t>
      </w:r>
      <w:r w:rsidRPr="00246FB5">
        <w:rPr>
          <w:rFonts w:ascii="Times New Roman" w:hAnsi="Times New Roman" w:cs="Times New Roman"/>
          <w:sz w:val="24"/>
          <w:szCs w:val="24"/>
          <w:lang w:val="en-US"/>
        </w:rPr>
        <w:t xml:space="preserve"> passengers, they dragged Plessy out of </w:t>
      </w:r>
      <w:bookmarkStart w:id="0" w:name="_GoBack"/>
      <w:bookmarkEnd w:id="0"/>
      <w:r w:rsidRPr="00246FB5">
        <w:rPr>
          <w:rFonts w:ascii="Times New Roman" w:hAnsi="Times New Roman" w:cs="Times New Roman"/>
          <w:sz w:val="24"/>
          <w:szCs w:val="24"/>
          <w:lang w:val="en-US"/>
        </w:rPr>
        <w:t>train. After spending a night in jail, Plessy appeared before the criminal court</w:t>
      </w:r>
      <w:r w:rsidR="007820E1">
        <w:rPr>
          <w:rFonts w:ascii="Times New Roman" w:hAnsi="Times New Roman" w:cs="Times New Roman"/>
          <w:sz w:val="24"/>
          <w:szCs w:val="24"/>
          <w:lang w:val="en-US"/>
        </w:rPr>
        <w:t xml:space="preserve"> of</w:t>
      </w:r>
      <w:r w:rsidRPr="00246FB5">
        <w:rPr>
          <w:rFonts w:ascii="Times New Roman" w:hAnsi="Times New Roman" w:cs="Times New Roman"/>
          <w:sz w:val="24"/>
          <w:szCs w:val="24"/>
          <w:lang w:val="en-US"/>
        </w:rPr>
        <w:t xml:space="preserve"> law in the presence of judge Howard Ferguson to respond to charges of breaking the law of the separate act (Rocha, Rene and Tetsuya 2014: 679).</w:t>
      </w:r>
    </w:p>
    <w:p w:rsidR="00246FB5" w:rsidRPr="00246FB5" w:rsidP="00246FB5" w14:paraId="390BD10A" w14:textId="072EE23D">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The committee that was mandated with testing the constitutionality that was contained in the separate car act then funded for the bond for the release of Plessy. The case resulted in an intensive legal maneuver to drop the cases against</w:t>
      </w:r>
      <w:r w:rsidR="007820E1">
        <w:rPr>
          <w:rFonts w:ascii="Times New Roman" w:hAnsi="Times New Roman" w:cs="Times New Roman"/>
          <w:sz w:val="24"/>
          <w:szCs w:val="24"/>
          <w:lang w:val="en-US"/>
        </w:rPr>
        <w:t xml:space="preserve"> Plessy</w:t>
      </w:r>
      <w:r w:rsidRPr="00246FB5">
        <w:rPr>
          <w:rFonts w:ascii="Times New Roman" w:hAnsi="Times New Roman" w:cs="Times New Roman"/>
          <w:sz w:val="24"/>
          <w:szCs w:val="24"/>
          <w:lang w:val="en-US"/>
        </w:rPr>
        <w:t xml:space="preserve">. </w:t>
      </w:r>
      <w:r w:rsidR="007820E1">
        <w:rPr>
          <w:rFonts w:ascii="Times New Roman" w:hAnsi="Times New Roman" w:cs="Times New Roman"/>
          <w:sz w:val="24"/>
          <w:szCs w:val="24"/>
          <w:lang w:val="en-US"/>
        </w:rPr>
        <w:t xml:space="preserve">Moreover, </w:t>
      </w:r>
      <w:r w:rsidRPr="00246FB5">
        <w:rPr>
          <w:rFonts w:ascii="Times New Roman" w:hAnsi="Times New Roman" w:cs="Times New Roman"/>
          <w:sz w:val="24"/>
          <w:szCs w:val="24"/>
          <w:lang w:val="en-US"/>
        </w:rPr>
        <w:t xml:space="preserve">Plessy was remanded for four months after his apprehension, and three lawyers joined a plea lamenting that it was unconstitutional to arrest Plessy on public commerce and therefore the court had no power to determine the case. Additionally, the attorneys claimed that that the issue of race both according to facts and law </w:t>
      </w:r>
      <w:r w:rsidR="007820E1">
        <w:rPr>
          <w:rFonts w:ascii="Times New Roman" w:hAnsi="Times New Roman" w:cs="Times New Roman"/>
          <w:sz w:val="24"/>
          <w:szCs w:val="24"/>
          <w:lang w:val="en-US"/>
        </w:rPr>
        <w:t xml:space="preserve">was </w:t>
      </w:r>
      <w:r w:rsidRPr="00246FB5">
        <w:rPr>
          <w:rFonts w:ascii="Times New Roman" w:hAnsi="Times New Roman" w:cs="Times New Roman"/>
          <w:sz w:val="24"/>
          <w:szCs w:val="24"/>
          <w:lang w:val="en-US"/>
        </w:rPr>
        <w:t xml:space="preserve">very expansive to allow the legislature the mandate to assign a railway conductor to </w:t>
      </w:r>
      <w:r w:rsidR="007820E1">
        <w:rPr>
          <w:rFonts w:ascii="Times New Roman" w:hAnsi="Times New Roman" w:cs="Times New Roman"/>
          <w:sz w:val="24"/>
          <w:szCs w:val="24"/>
          <w:lang w:val="en-US"/>
        </w:rPr>
        <w:t>rule over t</w:t>
      </w:r>
      <w:r w:rsidRPr="00246FB5">
        <w:rPr>
          <w:rFonts w:ascii="Times New Roman" w:hAnsi="Times New Roman" w:cs="Times New Roman"/>
          <w:sz w:val="24"/>
          <w:szCs w:val="24"/>
          <w:lang w:val="en-US"/>
        </w:rPr>
        <w:t xml:space="preserve">he case. The case of Plessy went unsuccessful, and all the appeals made by his attorneys went unsuccessful. Another appeal was filed to the supreme court of America, but still, things went rough for Plessy. Between the period of filing an appeal and oral argument that ensued in 1893 prior to the appeal in the US supreme court in Washington. The atmosphere in the state turned so hot for the people of color, and the attitude of the court hardened further than before. </w:t>
      </w:r>
    </w:p>
    <w:p w:rsidR="00246FB5" w:rsidP="00E1026F" w14:paraId="0A48039A" w14:textId="4E3460C8">
      <w:pPr>
        <w:spacing w:line="480" w:lineRule="auto"/>
        <w:ind w:firstLine="720"/>
        <w:rPr>
          <w:rFonts w:ascii="Times New Roman" w:hAnsi="Times New Roman" w:cs="Times New Roman"/>
          <w:sz w:val="24"/>
          <w:szCs w:val="24"/>
          <w:lang w:val="en-US"/>
        </w:rPr>
      </w:pPr>
      <w:r w:rsidRPr="00246FB5">
        <w:rPr>
          <w:rFonts w:ascii="Times New Roman" w:hAnsi="Times New Roman" w:cs="Times New Roman"/>
          <w:sz w:val="24"/>
          <w:szCs w:val="24"/>
          <w:lang w:val="en-US"/>
        </w:rPr>
        <w:t xml:space="preserve">In conclusion, throughout the United States specifically in the south of America conditions for people of color were seriously deteriorating. The federal government began to enforce the rights of convicts who belonged to the black people community as well as a persecuted minority of the mixed race in the midst </w:t>
      </w:r>
      <w:r w:rsidR="00D2677A">
        <w:rPr>
          <w:rFonts w:ascii="Times New Roman" w:hAnsi="Times New Roman" w:cs="Times New Roman"/>
          <w:sz w:val="24"/>
          <w:szCs w:val="24"/>
          <w:lang w:val="en-US"/>
        </w:rPr>
        <w:t xml:space="preserve">of </w:t>
      </w:r>
      <w:r w:rsidRPr="00246FB5">
        <w:rPr>
          <w:rFonts w:ascii="Times New Roman" w:hAnsi="Times New Roman" w:cs="Times New Roman"/>
          <w:sz w:val="24"/>
          <w:szCs w:val="24"/>
          <w:lang w:val="en-US"/>
        </w:rPr>
        <w:t xml:space="preserve">massive opposition that originated from the southern states. The decision of the </w:t>
      </w:r>
      <w:r w:rsidRPr="00246FB5">
        <w:rPr>
          <w:rFonts w:ascii="Times New Roman" w:hAnsi="Times New Roman" w:cs="Times New Roman"/>
          <w:sz w:val="24"/>
          <w:szCs w:val="24"/>
          <w:lang w:val="en-US"/>
        </w:rPr>
        <w:t>supreme court</w:t>
      </w:r>
      <w:r w:rsidRPr="00246FB5">
        <w:rPr>
          <w:rFonts w:ascii="Times New Roman" w:hAnsi="Times New Roman" w:cs="Times New Roman"/>
          <w:sz w:val="24"/>
          <w:szCs w:val="24"/>
          <w:lang w:val="en-US"/>
        </w:rPr>
        <w:t xml:space="preserve"> that came in 18 of May 1896 led to the formation of the big names of Ferguson and Plessy </w:t>
      </w:r>
      <w:r w:rsidR="00D2677A">
        <w:rPr>
          <w:rFonts w:ascii="Times New Roman" w:hAnsi="Times New Roman" w:cs="Times New Roman"/>
          <w:sz w:val="24"/>
          <w:szCs w:val="24"/>
          <w:lang w:val="en-US"/>
        </w:rPr>
        <w:t xml:space="preserve">which </w:t>
      </w:r>
      <w:r w:rsidRPr="00246FB5">
        <w:rPr>
          <w:rFonts w:ascii="Times New Roman" w:hAnsi="Times New Roman" w:cs="Times New Roman"/>
          <w:sz w:val="24"/>
          <w:szCs w:val="24"/>
          <w:lang w:val="en-US"/>
        </w:rPr>
        <w:t xml:space="preserve">intensified the development of Jim Crow era. </w:t>
      </w:r>
    </w:p>
    <w:p w:rsidR="00E1026F" w14:paraId="0604CD62"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46FB5" w:rsidRPr="00246FB5" w:rsidP="00E1026F" w14:paraId="4FB28DDB" w14:textId="3C76C114">
      <w:pPr>
        <w:spacing w:line="480" w:lineRule="auto"/>
        <w:jc w:val="center"/>
        <w:rPr>
          <w:rFonts w:ascii="Times New Roman" w:hAnsi="Times New Roman" w:cs="Times New Roman"/>
          <w:sz w:val="24"/>
          <w:szCs w:val="24"/>
          <w:lang w:val="en-US"/>
        </w:rPr>
      </w:pPr>
      <w:r w:rsidRPr="00246FB5">
        <w:rPr>
          <w:rFonts w:ascii="Times New Roman" w:hAnsi="Times New Roman" w:cs="Times New Roman"/>
          <w:sz w:val="24"/>
          <w:szCs w:val="24"/>
          <w:lang w:val="en-US"/>
        </w:rPr>
        <w:t>References</w:t>
      </w:r>
    </w:p>
    <w:p w:rsidR="00246FB5" w:rsidRPr="00246FB5" w:rsidP="00246FB5" w14:paraId="0FF8F197" w14:textId="30D55585">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Ayu</w:t>
      </w:r>
      <w:r w:rsidRPr="00246FB5">
        <w:rPr>
          <w:rFonts w:ascii="Times New Roman" w:hAnsi="Times New Roman" w:cs="Times New Roman"/>
          <w:color w:val="222222"/>
          <w:sz w:val="24"/>
          <w:szCs w:val="24"/>
          <w:shd w:val="clear" w:color="auto" w:fill="FFFFFF"/>
        </w:rPr>
        <w:t xml:space="preserve">, </w:t>
      </w:r>
      <w:r w:rsidRPr="00246FB5">
        <w:rPr>
          <w:rFonts w:ascii="Times New Roman" w:hAnsi="Times New Roman" w:cs="Times New Roman"/>
          <w:color w:val="222222"/>
          <w:sz w:val="24"/>
          <w:szCs w:val="24"/>
          <w:shd w:val="clear" w:color="auto" w:fill="FFFFFF"/>
        </w:rPr>
        <w:t>Dewi</w:t>
      </w:r>
      <w:r w:rsidRPr="00246FB5">
        <w:rPr>
          <w:rFonts w:ascii="Times New Roman" w:hAnsi="Times New Roman" w:cs="Times New Roman"/>
          <w:color w:val="222222"/>
          <w:sz w:val="24"/>
          <w:szCs w:val="24"/>
          <w:shd w:val="clear" w:color="auto" w:fill="FFFFFF"/>
        </w:rPr>
        <w:t xml:space="preserve"> </w:t>
      </w:r>
      <w:r w:rsidRPr="00246FB5">
        <w:rPr>
          <w:rFonts w:ascii="Times New Roman" w:hAnsi="Times New Roman" w:cs="Times New Roman"/>
          <w:color w:val="222222"/>
          <w:sz w:val="24"/>
          <w:szCs w:val="24"/>
          <w:shd w:val="clear" w:color="auto" w:fill="FFFFFF"/>
        </w:rPr>
        <w:t>Mutiara</w:t>
      </w:r>
      <w:r w:rsidRPr="00246FB5">
        <w:rPr>
          <w:rFonts w:ascii="Times New Roman" w:hAnsi="Times New Roman" w:cs="Times New Roman"/>
          <w:color w:val="222222"/>
          <w:sz w:val="24"/>
          <w:szCs w:val="24"/>
          <w:shd w:val="clear" w:color="auto" w:fill="FFFFFF"/>
        </w:rPr>
        <w:t xml:space="preserve"> Indah. "An Analysis of The Motivation Reflected by The Main Characters In The Movie “42” And Its Personality Influence." </w:t>
      </w:r>
      <w:r w:rsidRPr="00246FB5">
        <w:rPr>
          <w:rFonts w:ascii="Times New Roman" w:hAnsi="Times New Roman" w:cs="Times New Roman"/>
          <w:i/>
          <w:iCs/>
          <w:color w:val="222222"/>
          <w:sz w:val="24"/>
          <w:szCs w:val="24"/>
          <w:shd w:val="clear" w:color="auto" w:fill="FFFFFF"/>
        </w:rPr>
        <w:t>DEIKSIS</w:t>
      </w:r>
      <w:r w:rsidRPr="00246FB5">
        <w:rPr>
          <w:rFonts w:ascii="Times New Roman" w:hAnsi="Times New Roman" w:cs="Times New Roman"/>
          <w:color w:val="222222"/>
          <w:sz w:val="24"/>
          <w:szCs w:val="24"/>
          <w:shd w:val="clear" w:color="auto" w:fill="FFFFFF"/>
        </w:rPr>
        <w:t> 9, no. 01 (2017): 13-25.</w:t>
      </w:r>
    </w:p>
    <w:p w:rsidR="00246FB5" w:rsidRPr="00246FB5" w:rsidP="00246FB5" w14:paraId="5C58D7F7"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Erevelles</w:t>
      </w:r>
      <w:r w:rsidRPr="00246FB5">
        <w:rPr>
          <w:rFonts w:ascii="Times New Roman" w:hAnsi="Times New Roman" w:cs="Times New Roman"/>
          <w:color w:val="222222"/>
          <w:sz w:val="24"/>
          <w:szCs w:val="24"/>
          <w:shd w:val="clear" w:color="auto" w:fill="FFFFFF"/>
        </w:rPr>
        <w:t xml:space="preserve">, </w:t>
      </w:r>
      <w:r w:rsidRPr="00246FB5">
        <w:rPr>
          <w:rFonts w:ascii="Times New Roman" w:hAnsi="Times New Roman" w:cs="Times New Roman"/>
          <w:color w:val="222222"/>
          <w:sz w:val="24"/>
          <w:szCs w:val="24"/>
          <w:shd w:val="clear" w:color="auto" w:fill="FFFFFF"/>
        </w:rPr>
        <w:t>Nirmala</w:t>
      </w:r>
      <w:r w:rsidRPr="00246FB5">
        <w:rPr>
          <w:rFonts w:ascii="Times New Roman" w:hAnsi="Times New Roman" w:cs="Times New Roman"/>
          <w:color w:val="222222"/>
          <w:sz w:val="24"/>
          <w:szCs w:val="24"/>
          <w:shd w:val="clear" w:color="auto" w:fill="FFFFFF"/>
        </w:rPr>
        <w:t>. "</w:t>
      </w:r>
      <w:r w:rsidRPr="00246FB5">
        <w:rPr>
          <w:rFonts w:ascii="Times New Roman" w:hAnsi="Times New Roman" w:cs="Times New Roman"/>
          <w:color w:val="222222"/>
          <w:sz w:val="24"/>
          <w:szCs w:val="24"/>
          <w:shd w:val="clear" w:color="auto" w:fill="FFFFFF"/>
        </w:rPr>
        <w:t>Crippin’Jim</w:t>
      </w:r>
      <w:r w:rsidRPr="00246FB5">
        <w:rPr>
          <w:rFonts w:ascii="Times New Roman" w:hAnsi="Times New Roman" w:cs="Times New Roman"/>
          <w:color w:val="222222"/>
          <w:sz w:val="24"/>
          <w:szCs w:val="24"/>
          <w:shd w:val="clear" w:color="auto" w:fill="FFFFFF"/>
        </w:rPr>
        <w:t xml:space="preserve"> Crow: Disability, dis-location, and the school-to-prison pipeline." In </w:t>
      </w:r>
      <w:r w:rsidRPr="00246FB5">
        <w:rPr>
          <w:rFonts w:ascii="Times New Roman" w:hAnsi="Times New Roman" w:cs="Times New Roman"/>
          <w:i/>
          <w:iCs/>
          <w:color w:val="222222"/>
          <w:sz w:val="24"/>
          <w:szCs w:val="24"/>
          <w:shd w:val="clear" w:color="auto" w:fill="FFFFFF"/>
        </w:rPr>
        <w:t>Disability incarcerated</w:t>
      </w:r>
      <w:r w:rsidRPr="00246FB5">
        <w:rPr>
          <w:rFonts w:ascii="Times New Roman" w:hAnsi="Times New Roman" w:cs="Times New Roman"/>
          <w:color w:val="222222"/>
          <w:sz w:val="24"/>
          <w:szCs w:val="24"/>
          <w:shd w:val="clear" w:color="auto" w:fill="FFFFFF"/>
        </w:rPr>
        <w:t>, pp. 81-99. Palgrave Macmillan, New York, 2014.</w:t>
      </w:r>
    </w:p>
    <w:p w:rsidR="00246FB5" w:rsidRPr="00246FB5" w:rsidP="00246FB5" w14:paraId="5761FBB7"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Highsmith, Andrew R., and Ansley T. Erickson. "Segregation as splitting, segregation as joining: Schools, housing, and the many modes of Jim Crow." </w:t>
      </w:r>
      <w:r w:rsidRPr="00246FB5">
        <w:rPr>
          <w:rFonts w:ascii="Times New Roman" w:hAnsi="Times New Roman" w:cs="Times New Roman"/>
          <w:i/>
          <w:iCs/>
          <w:color w:val="222222"/>
          <w:sz w:val="24"/>
          <w:szCs w:val="24"/>
          <w:shd w:val="clear" w:color="auto" w:fill="FFFFFF"/>
        </w:rPr>
        <w:t>American journal of education</w:t>
      </w:r>
      <w:r w:rsidRPr="00246FB5">
        <w:rPr>
          <w:rFonts w:ascii="Times New Roman" w:hAnsi="Times New Roman" w:cs="Times New Roman"/>
          <w:color w:val="222222"/>
          <w:sz w:val="24"/>
          <w:szCs w:val="24"/>
          <w:shd w:val="clear" w:color="auto" w:fill="FFFFFF"/>
        </w:rPr>
        <w:t> 121, no. 4 (2015): 563-595.</w:t>
      </w:r>
    </w:p>
    <w:p w:rsidR="00246FB5" w:rsidRPr="00246FB5" w:rsidP="00246FB5" w14:paraId="65028547"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Hutami</w:t>
      </w:r>
      <w:r w:rsidRPr="00246FB5">
        <w:rPr>
          <w:rFonts w:ascii="Times New Roman" w:hAnsi="Times New Roman" w:cs="Times New Roman"/>
          <w:color w:val="222222"/>
          <w:sz w:val="24"/>
          <w:szCs w:val="24"/>
          <w:shd w:val="clear" w:color="auto" w:fill="FFFFFF"/>
        </w:rPr>
        <w:t xml:space="preserve">, </w:t>
      </w:r>
      <w:r w:rsidRPr="00246FB5">
        <w:rPr>
          <w:rFonts w:ascii="Times New Roman" w:hAnsi="Times New Roman" w:cs="Times New Roman"/>
          <w:color w:val="222222"/>
          <w:sz w:val="24"/>
          <w:szCs w:val="24"/>
          <w:shd w:val="clear" w:color="auto" w:fill="FFFFFF"/>
        </w:rPr>
        <w:t>Anindita</w:t>
      </w:r>
      <w:r w:rsidRPr="00246FB5">
        <w:rPr>
          <w:rFonts w:ascii="Times New Roman" w:hAnsi="Times New Roman" w:cs="Times New Roman"/>
          <w:color w:val="222222"/>
          <w:sz w:val="24"/>
          <w:szCs w:val="24"/>
          <w:shd w:val="clear" w:color="auto" w:fill="FFFFFF"/>
        </w:rPr>
        <w:t xml:space="preserve"> </w:t>
      </w:r>
      <w:r w:rsidRPr="00246FB5">
        <w:rPr>
          <w:rFonts w:ascii="Times New Roman" w:hAnsi="Times New Roman" w:cs="Times New Roman"/>
          <w:color w:val="222222"/>
          <w:sz w:val="24"/>
          <w:szCs w:val="24"/>
          <w:shd w:val="clear" w:color="auto" w:fill="FFFFFF"/>
        </w:rPr>
        <w:t>Hanifan</w:t>
      </w:r>
      <w:r w:rsidRPr="00246FB5">
        <w:rPr>
          <w:rFonts w:ascii="Times New Roman" w:hAnsi="Times New Roman" w:cs="Times New Roman"/>
          <w:color w:val="222222"/>
          <w:sz w:val="24"/>
          <w:szCs w:val="24"/>
          <w:shd w:val="clear" w:color="auto" w:fill="FFFFFF"/>
        </w:rPr>
        <w:t>. "AN ANALYSIS OF RACIAL DISCRIMINATION EXPERIENCED BY LANGSTON HUGHES AS REFLECTED IN HIS POEMS I, TOO, MERRY-GO-ROUND, AND KU KLUX." PhD diss., SANATA DHARMA UNIVERSITY, 2018.</w:t>
      </w:r>
    </w:p>
    <w:p w:rsidR="00246FB5" w:rsidRPr="00246FB5" w:rsidP="00246FB5" w14:paraId="2CBFE0EA" w14:textId="77777777">
      <w:pPr>
        <w:spacing w:line="480" w:lineRule="auto"/>
        <w:ind w:left="720" w:hanging="720"/>
        <w:rPr>
          <w:rFonts w:ascii="Times New Roman" w:hAnsi="Times New Roman" w:cs="Times New Roman"/>
          <w:sz w:val="24"/>
          <w:szCs w:val="24"/>
        </w:rPr>
      </w:pPr>
      <w:r w:rsidRPr="00246FB5">
        <w:rPr>
          <w:rFonts w:ascii="Times New Roman" w:hAnsi="Times New Roman" w:cs="Times New Roman"/>
          <w:color w:val="222222"/>
          <w:sz w:val="24"/>
          <w:szCs w:val="24"/>
          <w:shd w:val="clear" w:color="auto" w:fill="FFFFFF"/>
        </w:rPr>
        <w:t>Kuczewski</w:t>
      </w:r>
      <w:r w:rsidRPr="00246FB5">
        <w:rPr>
          <w:rFonts w:ascii="Times New Roman" w:hAnsi="Times New Roman" w:cs="Times New Roman"/>
          <w:color w:val="222222"/>
          <w:sz w:val="24"/>
          <w:szCs w:val="24"/>
          <w:shd w:val="clear" w:color="auto" w:fill="FFFFFF"/>
        </w:rPr>
        <w:t>, Mark. "The really new Jim Crow: why bioethicists must ally with undocumented immigrants." </w:t>
      </w:r>
      <w:r w:rsidRPr="00246FB5">
        <w:rPr>
          <w:rFonts w:ascii="Times New Roman" w:hAnsi="Times New Roman" w:cs="Times New Roman"/>
          <w:i/>
          <w:iCs/>
          <w:color w:val="222222"/>
          <w:sz w:val="24"/>
          <w:szCs w:val="24"/>
          <w:shd w:val="clear" w:color="auto" w:fill="FFFFFF"/>
        </w:rPr>
        <w:t>The American Journal of Bioethics</w:t>
      </w:r>
      <w:r w:rsidRPr="00246FB5">
        <w:rPr>
          <w:rFonts w:ascii="Times New Roman" w:hAnsi="Times New Roman" w:cs="Times New Roman"/>
          <w:color w:val="222222"/>
          <w:sz w:val="24"/>
          <w:szCs w:val="24"/>
          <w:shd w:val="clear" w:color="auto" w:fill="FFFFFF"/>
        </w:rPr>
        <w:t> 16, no. 4 (2016): 21-23.</w:t>
      </w:r>
    </w:p>
    <w:p w:rsidR="00246FB5" w:rsidRPr="00246FB5" w:rsidP="00246FB5" w14:paraId="58244EF7"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Penrod, Erin A. "Disenfranchisement 2.0: Recent Voter ID Laws and the Implications Thereof." </w:t>
      </w:r>
      <w:r w:rsidRPr="00246FB5">
        <w:rPr>
          <w:rFonts w:ascii="Times New Roman" w:hAnsi="Times New Roman" w:cs="Times New Roman"/>
          <w:i/>
          <w:iCs/>
          <w:color w:val="222222"/>
          <w:sz w:val="24"/>
          <w:szCs w:val="24"/>
          <w:shd w:val="clear" w:color="auto" w:fill="FFFFFF"/>
        </w:rPr>
        <w:t>U. St. Thomas LJ</w:t>
      </w:r>
      <w:r w:rsidRPr="00246FB5">
        <w:rPr>
          <w:rFonts w:ascii="Times New Roman" w:hAnsi="Times New Roman" w:cs="Times New Roman"/>
          <w:color w:val="222222"/>
          <w:sz w:val="24"/>
          <w:szCs w:val="24"/>
          <w:shd w:val="clear" w:color="auto" w:fill="FFFFFF"/>
        </w:rPr>
        <w:t> 14 (2018): 207.</w:t>
      </w:r>
    </w:p>
    <w:p w:rsidR="00246FB5" w:rsidRPr="00246FB5" w:rsidP="00246FB5" w14:paraId="03F65165" w14:textId="143FE87A">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 xml:space="preserve">Rocha, Rene R., and Tetsuya </w:t>
      </w:r>
      <w:r w:rsidRPr="00246FB5">
        <w:rPr>
          <w:rFonts w:ascii="Times New Roman" w:hAnsi="Times New Roman" w:cs="Times New Roman"/>
          <w:color w:val="222222"/>
          <w:sz w:val="24"/>
          <w:szCs w:val="24"/>
          <w:shd w:val="clear" w:color="auto" w:fill="FFFFFF"/>
        </w:rPr>
        <w:t>Matsubayashi</w:t>
      </w:r>
      <w:r w:rsidRPr="00246FB5">
        <w:rPr>
          <w:rFonts w:ascii="Times New Roman" w:hAnsi="Times New Roman" w:cs="Times New Roman"/>
          <w:color w:val="222222"/>
          <w:sz w:val="24"/>
          <w:szCs w:val="24"/>
          <w:shd w:val="clear" w:color="auto" w:fill="FFFFFF"/>
        </w:rPr>
        <w:t>. "The politics of race and voter ID laws in the states: The return of Jim Crow?" </w:t>
      </w:r>
      <w:r w:rsidRPr="00246FB5">
        <w:rPr>
          <w:rFonts w:ascii="Times New Roman" w:hAnsi="Times New Roman" w:cs="Times New Roman"/>
          <w:i/>
          <w:iCs/>
          <w:color w:val="222222"/>
          <w:sz w:val="24"/>
          <w:szCs w:val="24"/>
          <w:shd w:val="clear" w:color="auto" w:fill="FFFFFF"/>
        </w:rPr>
        <w:t>Political Research Quarterly</w:t>
      </w:r>
      <w:r w:rsidRPr="00246FB5">
        <w:rPr>
          <w:rFonts w:ascii="Times New Roman" w:hAnsi="Times New Roman" w:cs="Times New Roman"/>
          <w:color w:val="222222"/>
          <w:sz w:val="24"/>
          <w:szCs w:val="24"/>
          <w:shd w:val="clear" w:color="auto" w:fill="FFFFFF"/>
        </w:rPr>
        <w:t> 67, no. 3 (2014): 666-679.</w:t>
      </w:r>
    </w:p>
    <w:p w:rsidR="00246FB5" w:rsidRPr="00246FB5" w:rsidP="00246FB5" w14:paraId="1B9D463E"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Sanchez, Ana. "</w:t>
      </w:r>
      <w:r w:rsidRPr="00246FB5">
        <w:rPr>
          <w:rFonts w:ascii="Times New Roman" w:hAnsi="Times New Roman" w:cs="Times New Roman"/>
          <w:color w:val="222222"/>
          <w:sz w:val="24"/>
          <w:szCs w:val="24"/>
          <w:shd w:val="clear" w:color="auto" w:fill="FFFFFF"/>
        </w:rPr>
        <w:t>Intersemiotic</w:t>
      </w:r>
      <w:r w:rsidRPr="00246FB5">
        <w:rPr>
          <w:rFonts w:ascii="Times New Roman" w:hAnsi="Times New Roman" w:cs="Times New Roman"/>
          <w:color w:val="222222"/>
          <w:sz w:val="24"/>
          <w:szCs w:val="24"/>
          <w:shd w:val="clear" w:color="auto" w:fill="FFFFFF"/>
        </w:rPr>
        <w:t xml:space="preserve"> translation of the Immortal Life of Henrietta Lacks." </w:t>
      </w:r>
      <w:r w:rsidRPr="00246FB5">
        <w:rPr>
          <w:rFonts w:ascii="Times New Roman" w:hAnsi="Times New Roman" w:cs="Times New Roman"/>
          <w:i/>
          <w:iCs/>
          <w:color w:val="222222"/>
          <w:sz w:val="24"/>
          <w:szCs w:val="24"/>
          <w:shd w:val="clear" w:color="auto" w:fill="FFFFFF"/>
        </w:rPr>
        <w:t>Advances in Social Sciences Research Journal</w:t>
      </w:r>
      <w:r w:rsidRPr="00246FB5">
        <w:rPr>
          <w:rFonts w:ascii="Times New Roman" w:hAnsi="Times New Roman" w:cs="Times New Roman"/>
          <w:color w:val="222222"/>
          <w:sz w:val="24"/>
          <w:szCs w:val="24"/>
          <w:shd w:val="clear" w:color="auto" w:fill="FFFFFF"/>
        </w:rPr>
        <w:t> 5, no. 7 (2018).</w:t>
      </w:r>
    </w:p>
    <w:p w:rsidR="00246FB5" w:rsidRPr="00246FB5" w:rsidP="00246FB5" w14:paraId="7B9C74FD" w14:textId="77777777">
      <w:pPr>
        <w:spacing w:line="480" w:lineRule="auto"/>
        <w:ind w:left="720" w:hanging="720"/>
        <w:rPr>
          <w:rFonts w:ascii="Times New Roman" w:hAnsi="Times New Roman" w:cs="Times New Roman"/>
          <w:color w:val="222222"/>
          <w:sz w:val="24"/>
          <w:szCs w:val="24"/>
          <w:shd w:val="clear" w:color="auto" w:fill="FFFFFF"/>
        </w:rPr>
      </w:pPr>
      <w:r w:rsidRPr="00246FB5">
        <w:rPr>
          <w:rFonts w:ascii="Times New Roman" w:hAnsi="Times New Roman" w:cs="Times New Roman"/>
          <w:color w:val="222222"/>
          <w:sz w:val="24"/>
          <w:szCs w:val="24"/>
          <w:shd w:val="clear" w:color="auto" w:fill="FFFFFF"/>
        </w:rPr>
        <w:t>Sherwin, Richard K. "Law frames: Historical truth and narrative necessity in a criminal case." In </w:t>
      </w:r>
      <w:r w:rsidRPr="00246FB5">
        <w:rPr>
          <w:rFonts w:ascii="Times New Roman" w:hAnsi="Times New Roman" w:cs="Times New Roman"/>
          <w:i/>
          <w:iCs/>
          <w:color w:val="222222"/>
          <w:sz w:val="24"/>
          <w:szCs w:val="24"/>
          <w:shd w:val="clear" w:color="auto" w:fill="FFFFFF"/>
        </w:rPr>
        <w:t>Trials</w:t>
      </w:r>
      <w:r w:rsidRPr="00246FB5">
        <w:rPr>
          <w:rFonts w:ascii="Times New Roman" w:hAnsi="Times New Roman" w:cs="Times New Roman"/>
          <w:color w:val="222222"/>
          <w:sz w:val="24"/>
          <w:szCs w:val="24"/>
          <w:shd w:val="clear" w:color="auto" w:fill="FFFFFF"/>
        </w:rPr>
        <w:t>, pp. 143-187. Routledge, 2017.</w:t>
      </w:r>
    </w:p>
    <w:sectPr w:rsidSect="00246FB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B5" w:rsidRPr="00246FB5" w14:paraId="50FBC89E" w14:textId="6A8287C3">
    <w:pPr>
      <w:pStyle w:val="Header"/>
      <w:rPr>
        <w:rFonts w:ascii="Times New Roman" w:hAnsi="Times New Roman" w:cs="Times New Roman"/>
        <w:sz w:val="24"/>
        <w:szCs w:val="24"/>
      </w:rPr>
    </w:pPr>
    <w:r w:rsidRPr="00246FB5">
      <w:rPr>
        <w:rFonts w:ascii="Times New Roman" w:hAnsi="Times New Roman" w:cs="Times New Roman"/>
        <w:sz w:val="24"/>
        <w:szCs w:val="24"/>
      </w:rPr>
      <w:t>JIM CROW LAWS</w:t>
    </w:r>
    <w:r>
      <w:rPr>
        <w:rFonts w:ascii="Times New Roman" w:hAnsi="Times New Roman" w:cs="Times New Roman"/>
        <w:sz w:val="24"/>
        <w:szCs w:val="24"/>
      </w:rPr>
      <w:tab/>
    </w:r>
    <w:r>
      <w:rPr>
        <w:rFonts w:ascii="Times New Roman" w:hAnsi="Times New Roman" w:cs="Times New Roman"/>
        <w:sz w:val="24"/>
        <w:szCs w:val="24"/>
      </w:rPr>
      <w:tab/>
    </w:r>
    <w:r w:rsidRPr="00246FB5">
      <w:rPr>
        <w:rFonts w:ascii="Times New Roman" w:hAnsi="Times New Roman" w:cs="Times New Roman"/>
        <w:sz w:val="24"/>
        <w:szCs w:val="24"/>
      </w:rPr>
      <w:fldChar w:fldCharType="begin"/>
    </w:r>
    <w:r w:rsidRPr="00246FB5">
      <w:rPr>
        <w:rFonts w:ascii="Times New Roman" w:hAnsi="Times New Roman" w:cs="Times New Roman"/>
        <w:sz w:val="24"/>
        <w:szCs w:val="24"/>
      </w:rPr>
      <w:instrText xml:space="preserve"> PAGE   \* MERGEFORMAT </w:instrText>
    </w:r>
    <w:r w:rsidRPr="00246FB5">
      <w:rPr>
        <w:rFonts w:ascii="Times New Roman" w:hAnsi="Times New Roman" w:cs="Times New Roman"/>
        <w:sz w:val="24"/>
        <w:szCs w:val="24"/>
      </w:rPr>
      <w:fldChar w:fldCharType="separate"/>
    </w:r>
    <w:r w:rsidR="00C85A10">
      <w:rPr>
        <w:rFonts w:ascii="Times New Roman" w:hAnsi="Times New Roman" w:cs="Times New Roman"/>
        <w:noProof/>
        <w:sz w:val="24"/>
        <w:szCs w:val="24"/>
      </w:rPr>
      <w:t>7</w:t>
    </w:r>
    <w:r w:rsidRPr="00246F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FB5" w:rsidRPr="00246FB5" w14:paraId="387F4C1B" w14:textId="4BBE48B8">
    <w:pPr>
      <w:pStyle w:val="Header"/>
      <w:rPr>
        <w:rFonts w:ascii="Times New Roman" w:hAnsi="Times New Roman" w:cs="Times New Roman"/>
        <w:sz w:val="24"/>
        <w:szCs w:val="24"/>
      </w:rPr>
    </w:pPr>
    <w:r w:rsidRPr="00246FB5">
      <w:rPr>
        <w:rFonts w:ascii="Times New Roman" w:hAnsi="Times New Roman" w:cs="Times New Roman"/>
        <w:sz w:val="24"/>
        <w:szCs w:val="24"/>
      </w:rPr>
      <w:t>Running head: JIM CROW LAWS</w:t>
    </w:r>
    <w:r w:rsidRPr="00246FB5">
      <w:rPr>
        <w:rFonts w:ascii="Times New Roman" w:hAnsi="Times New Roman" w:cs="Times New Roman"/>
        <w:sz w:val="24"/>
        <w:szCs w:val="24"/>
      </w:rPr>
      <w:tab/>
    </w:r>
    <w:r w:rsidRPr="00246FB5">
      <w:rPr>
        <w:rFonts w:ascii="Times New Roman" w:hAnsi="Times New Roman" w:cs="Times New Roman"/>
        <w:sz w:val="24"/>
        <w:szCs w:val="24"/>
      </w:rPr>
      <w:tab/>
    </w:r>
    <w:r w:rsidRPr="00246FB5">
      <w:rPr>
        <w:rFonts w:ascii="Times New Roman" w:hAnsi="Times New Roman" w:cs="Times New Roman"/>
        <w:sz w:val="24"/>
        <w:szCs w:val="24"/>
      </w:rPr>
      <w:fldChar w:fldCharType="begin"/>
    </w:r>
    <w:r w:rsidRPr="00246FB5">
      <w:rPr>
        <w:rFonts w:ascii="Times New Roman" w:hAnsi="Times New Roman" w:cs="Times New Roman"/>
        <w:sz w:val="24"/>
        <w:szCs w:val="24"/>
      </w:rPr>
      <w:instrText xml:space="preserve"> PAGE   \* MERGEFORMAT </w:instrText>
    </w:r>
    <w:r w:rsidRPr="00246FB5">
      <w:rPr>
        <w:rFonts w:ascii="Times New Roman" w:hAnsi="Times New Roman" w:cs="Times New Roman"/>
        <w:sz w:val="24"/>
        <w:szCs w:val="24"/>
      </w:rPr>
      <w:fldChar w:fldCharType="separate"/>
    </w:r>
    <w:r w:rsidR="00166436">
      <w:rPr>
        <w:rFonts w:ascii="Times New Roman" w:hAnsi="Times New Roman" w:cs="Times New Roman"/>
        <w:noProof/>
        <w:sz w:val="24"/>
        <w:szCs w:val="24"/>
      </w:rPr>
      <w:t>1</w:t>
    </w:r>
    <w:r w:rsidRPr="00246FB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C98"/>
    <w:rsid w:val="00032434"/>
    <w:rsid w:val="00045F5D"/>
    <w:rsid w:val="00113F82"/>
    <w:rsid w:val="00166436"/>
    <w:rsid w:val="00246FB5"/>
    <w:rsid w:val="003704BC"/>
    <w:rsid w:val="00391F0A"/>
    <w:rsid w:val="003A60DA"/>
    <w:rsid w:val="004807ED"/>
    <w:rsid w:val="004A5E7A"/>
    <w:rsid w:val="005D01FA"/>
    <w:rsid w:val="0066482E"/>
    <w:rsid w:val="00714BEF"/>
    <w:rsid w:val="007422F2"/>
    <w:rsid w:val="00760758"/>
    <w:rsid w:val="00774138"/>
    <w:rsid w:val="007820E1"/>
    <w:rsid w:val="007F3548"/>
    <w:rsid w:val="00821A8B"/>
    <w:rsid w:val="00895047"/>
    <w:rsid w:val="008968EC"/>
    <w:rsid w:val="008C7310"/>
    <w:rsid w:val="00A22CD0"/>
    <w:rsid w:val="00A24A07"/>
    <w:rsid w:val="00A518F4"/>
    <w:rsid w:val="00AA4487"/>
    <w:rsid w:val="00AF6B69"/>
    <w:rsid w:val="00C24790"/>
    <w:rsid w:val="00C85A10"/>
    <w:rsid w:val="00C945BA"/>
    <w:rsid w:val="00D2677A"/>
    <w:rsid w:val="00DA3677"/>
    <w:rsid w:val="00E1026F"/>
    <w:rsid w:val="00E16E8B"/>
    <w:rsid w:val="00E90459"/>
    <w:rsid w:val="00EB3CBE"/>
    <w:rsid w:val="00ED7C98"/>
    <w:rsid w:val="00EF23DF"/>
    <w:rsid w:val="00F84B91"/>
    <w:rsid w:val="00F94981"/>
    <w:rsid w:val="00FB79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FB5"/>
    <w:rPr>
      <w:lang w:val="en-GB"/>
    </w:rPr>
  </w:style>
  <w:style w:type="paragraph" w:styleId="Footer">
    <w:name w:val="footer"/>
    <w:basedOn w:val="Normal"/>
    <w:link w:val="FooterChar"/>
    <w:uiPriority w:val="99"/>
    <w:unhideWhenUsed/>
    <w:rsid w:val="00246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FB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10</Pages>
  <Words>2268</Words>
  <Characters>12929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2019-04-18T10:10:00Z</dcterms:created>
  <dcterms:modified xsi:type="dcterms:W3CDTF">2019-04-18T21:23:00Z</dcterms:modified>
</cp:coreProperties>
</file>